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03" w:rsidRPr="00AD23E9" w:rsidRDefault="00AC7D03" w:rsidP="00AC7D03">
      <w:pPr>
        <w:widowControl/>
        <w:jc w:val="left"/>
        <w:rPr>
          <w:rFonts w:ascii="方正小标宋简体" w:eastAsia="方正小标宋简体" w:hAnsi="仿宋" w:cs="仿宋_GB2312"/>
          <w:sz w:val="36"/>
          <w:szCs w:val="36"/>
        </w:rPr>
      </w:pPr>
      <w:r w:rsidRPr="00AD23E9">
        <w:rPr>
          <w:rFonts w:ascii="黑体" w:eastAsia="黑体" w:hAnsi="仿宋" w:cs="仿宋_GB2312" w:hint="eastAsia"/>
          <w:sz w:val="32"/>
          <w:szCs w:val="30"/>
        </w:rPr>
        <w:t xml:space="preserve">附件  </w:t>
      </w:r>
      <w:r>
        <w:rPr>
          <w:rFonts w:ascii="仿宋_GB2312" w:eastAsia="仿宋_GB2312" w:hAnsi="仿宋" w:cs="仿宋_GB2312" w:hint="eastAsia"/>
          <w:sz w:val="32"/>
          <w:szCs w:val="30"/>
        </w:rPr>
        <w:t xml:space="preserve">                         </w:t>
      </w:r>
      <w:bookmarkStart w:id="0" w:name="_GoBack"/>
      <w:r w:rsidRPr="00AD23E9">
        <w:rPr>
          <w:rFonts w:ascii="方正小标宋简体" w:eastAsia="方正小标宋简体" w:hAnsi="仿宋" w:cs="仿宋_GB2312" w:hint="eastAsia"/>
          <w:sz w:val="36"/>
          <w:szCs w:val="36"/>
        </w:rPr>
        <w:t>重大灾害防治情况进展统计表</w:t>
      </w:r>
      <w:bookmarkEnd w:id="0"/>
    </w:p>
    <w:tbl>
      <w:tblPr>
        <w:tblW w:w="15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2423"/>
        <w:gridCol w:w="763"/>
        <w:gridCol w:w="763"/>
        <w:gridCol w:w="992"/>
        <w:gridCol w:w="1135"/>
        <w:gridCol w:w="1276"/>
        <w:gridCol w:w="1788"/>
        <w:gridCol w:w="1276"/>
        <w:gridCol w:w="992"/>
        <w:gridCol w:w="1135"/>
        <w:gridCol w:w="1276"/>
      </w:tblGrid>
      <w:tr w:rsidR="00AC7D03" w:rsidRPr="00D120B6" w:rsidTr="00192ACA">
        <w:trPr>
          <w:trHeight w:val="601"/>
          <w:tblHeader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整治类别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防治内容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矿井</w:t>
            </w:r>
          </w:p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查出</w:t>
            </w:r>
          </w:p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条数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已整改</w:t>
            </w:r>
          </w:p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条数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未整改条数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整改率（%）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责令局部停产或施工（处）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责令停止生产（处）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提请关闭(处)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罚款</w:t>
            </w: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下达执法文书（份）</w:t>
            </w: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瓦斯治理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矿井开拓布局不合理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通风系统不完善不可靠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瓦斯抽采系统能力不足、抽采效果不达标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瓦斯治理工程不到位，“两个四位一体”防</w:t>
            </w:r>
            <w:proofErr w:type="gramStart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突措施</w:t>
            </w:r>
            <w:proofErr w:type="gramEnd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不落实、防</w:t>
            </w:r>
            <w:proofErr w:type="gramStart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突效果</w:t>
            </w:r>
            <w:proofErr w:type="gramEnd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不达标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“一通三防”机构不健全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瓦斯超限仍然作业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监控系统功能不健全或运行不正常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水害防治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水文地质类型复杂、极复杂煤矿未设立“三专”（专门防治水机构、探放水专业队伍、探放水专用设备）要求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未按规定编制防治水图件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未查清区域水文地质条件、水害类型和导水通道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890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受承压水威胁的煤矿未</w:t>
            </w:r>
            <w:proofErr w:type="gramStart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划分非</w:t>
            </w:r>
            <w:proofErr w:type="gramEnd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突水危险区、突水威胁区和突水危险区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未对老空区积水划定警戒线和禁采线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未对水害治理效果进行验证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未按规定留设或者擅自开采各种防隔水煤柱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1139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防灭火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开采容易自燃和自燃煤层，未编制防止自然发火设计或者未按设计组织生产建设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999"/>
          <w:jc w:val="center"/>
        </w:trPr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高瓦斯矿井采用放顶煤开采，不能有效防治煤层自然发火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有自然发火征兆，没有采取安全防范措施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注浆、</w:t>
            </w:r>
            <w:proofErr w:type="gramStart"/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注氮系统</w:t>
            </w:r>
            <w:proofErr w:type="gramEnd"/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和火灾监测系统未建立或不完善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井下火区及密闭管理不到位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hint="eastAsia"/>
                <w:sz w:val="18"/>
                <w:szCs w:val="18"/>
              </w:rPr>
              <w:t>使用国家明令淘汰的机电设备和非阻燃电缆、胶带、风筒、瓦斯抽采管路材料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lastRenderedPageBreak/>
              <w:t>提升运输系统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矿井运人装置的大型设备和钢丝绳，未按规定进行检修、检测检验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保护装置不齐全、“</w:t>
            </w:r>
            <w:proofErr w:type="gramStart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一</w:t>
            </w:r>
            <w:proofErr w:type="gramEnd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坡三挡”防护设施不完善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超载超员运行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使用</w:t>
            </w:r>
            <w:proofErr w:type="gramStart"/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非安标产品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使用淘汰设备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AC7D03" w:rsidRPr="00D120B6" w:rsidTr="00192ACA">
        <w:trPr>
          <w:trHeight w:val="606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120B6">
              <w:rPr>
                <w:rFonts w:asciiTheme="minorEastAsia" w:hAnsiTheme="minorEastAsia" w:cs="仿宋" w:hint="eastAsia"/>
                <w:sz w:val="18"/>
                <w:szCs w:val="18"/>
              </w:rPr>
              <w:t>其    他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03" w:rsidRPr="00D120B6" w:rsidRDefault="00AC7D03" w:rsidP="00192ACA">
            <w:pPr>
              <w:tabs>
                <w:tab w:val="left" w:pos="7020"/>
              </w:tabs>
              <w:spacing w:line="240" w:lineRule="exact"/>
              <w:ind w:firstLine="70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</w:tbl>
    <w:p w:rsidR="00AC7D03" w:rsidRDefault="00AC7D03" w:rsidP="00AC7D03">
      <w:pPr>
        <w:ind w:firstLineChars="100" w:firstLine="2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Cs w:val="22"/>
        </w:rPr>
        <w:t>填报单位（公章）：                                              填报人：                                   联系电话：</w:t>
      </w:r>
    </w:p>
    <w:p w:rsidR="00AC7D03" w:rsidRDefault="00AC7D03" w:rsidP="00AC7D03">
      <w:pPr>
        <w:widowControl/>
        <w:jc w:val="left"/>
        <w:sectPr w:rsidR="00AC7D03" w:rsidSect="006C187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57D74" w:rsidRPr="00AC7D03" w:rsidRDefault="00E57D74" w:rsidP="00AC7D03"/>
    <w:sectPr w:rsidR="00E57D74" w:rsidRPr="00AC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E7"/>
    <w:rsid w:val="00AC7D03"/>
    <w:rsid w:val="00D014E7"/>
    <w:rsid w:val="00E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吴磊</dc:creator>
  <cp:keywords/>
  <dc:description/>
  <cp:lastModifiedBy>吴磊</cp:lastModifiedBy>
  <cp:revision>2</cp:revision>
  <dcterms:created xsi:type="dcterms:W3CDTF">2016-05-19T09:14:00Z</dcterms:created>
  <dcterms:modified xsi:type="dcterms:W3CDTF">2016-05-19T09:14:00Z</dcterms:modified>
</cp:coreProperties>
</file>